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93B30" w14:textId="77777777" w:rsidR="0017753B" w:rsidRDefault="00967DB4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Рассмотрена и одобрена </w:t>
      </w:r>
    </w:p>
    <w:p w14:paraId="21308FB5" w14:textId="77777777" w:rsidR="0017753B" w:rsidRDefault="00967D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на заседании </w:t>
      </w:r>
      <w:proofErr w:type="spellStart"/>
      <w:r>
        <w:rPr>
          <w:sz w:val="24"/>
          <w:szCs w:val="24"/>
        </w:rPr>
        <w:t>Ветбиофармсовета</w:t>
      </w:r>
      <w:proofErr w:type="spellEnd"/>
      <w:r>
        <w:rPr>
          <w:sz w:val="24"/>
          <w:szCs w:val="24"/>
        </w:rPr>
        <w:t xml:space="preserve"> </w:t>
      </w:r>
    </w:p>
    <w:p w14:paraId="5F05E28D" w14:textId="77777777" w:rsidR="0017753B" w:rsidRDefault="00967D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«30» октября 2015 года. Протокол № 81        </w:t>
      </w:r>
    </w:p>
    <w:p w14:paraId="7FD12637" w14:textId="77777777" w:rsidR="0017753B" w:rsidRDefault="0017753B">
      <w:pPr>
        <w:jc w:val="center"/>
        <w:rPr>
          <w:sz w:val="24"/>
          <w:szCs w:val="24"/>
        </w:rPr>
      </w:pPr>
    </w:p>
    <w:p w14:paraId="15B41ADF" w14:textId="77777777" w:rsidR="0017753B" w:rsidRDefault="0017753B">
      <w:pPr>
        <w:pStyle w:val="2"/>
        <w:jc w:val="center"/>
        <w:rPr>
          <w:b/>
          <w:bCs/>
        </w:rPr>
      </w:pPr>
    </w:p>
    <w:p w14:paraId="39779F79" w14:textId="77777777" w:rsidR="0017753B" w:rsidRDefault="00967DB4">
      <w:pPr>
        <w:pStyle w:val="2"/>
        <w:jc w:val="center"/>
        <w:rPr>
          <w:b/>
          <w:bCs/>
        </w:rPr>
      </w:pPr>
      <w:r>
        <w:rPr>
          <w:b/>
          <w:bCs/>
        </w:rPr>
        <w:t>ИНСТРУКЦИЯ</w:t>
      </w:r>
    </w:p>
    <w:p w14:paraId="3D2DC338" w14:textId="77777777" w:rsidR="0017753B" w:rsidRDefault="00967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применению препарата ветеринарного</w:t>
      </w:r>
    </w:p>
    <w:p w14:paraId="1FA70227" w14:textId="77777777" w:rsidR="0017753B" w:rsidRDefault="00967DB4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b/>
          <w:bCs/>
          <w:sz w:val="24"/>
          <w:szCs w:val="24"/>
        </w:rPr>
        <w:t>Энроутеромаст</w:t>
      </w:r>
      <w:proofErr w:type="spellEnd"/>
      <w:r>
        <w:rPr>
          <w:b/>
          <w:bCs/>
          <w:sz w:val="24"/>
          <w:szCs w:val="24"/>
        </w:rPr>
        <w:t xml:space="preserve"> ВБФ</w:t>
      </w:r>
      <w:r>
        <w:rPr>
          <w:sz w:val="24"/>
          <w:szCs w:val="24"/>
        </w:rPr>
        <w:t>»</w:t>
      </w:r>
    </w:p>
    <w:p w14:paraId="650A5E98" w14:textId="77777777" w:rsidR="0017753B" w:rsidRDefault="0017753B">
      <w:pPr>
        <w:rPr>
          <w:sz w:val="24"/>
          <w:szCs w:val="24"/>
        </w:rPr>
      </w:pPr>
    </w:p>
    <w:p w14:paraId="59DBD18C" w14:textId="77777777" w:rsidR="0017753B" w:rsidRDefault="0017753B">
      <w:pPr>
        <w:rPr>
          <w:sz w:val="24"/>
          <w:szCs w:val="24"/>
        </w:rPr>
      </w:pPr>
    </w:p>
    <w:p w14:paraId="6102CA04" w14:textId="77777777" w:rsidR="0017753B" w:rsidRDefault="00967D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ОБЩИЕ СВЕДЕНИЯ</w:t>
      </w:r>
    </w:p>
    <w:p w14:paraId="430CD358" w14:textId="77777777" w:rsidR="0017753B" w:rsidRDefault="00967DB4">
      <w:pPr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</w:t>
      </w:r>
      <w:proofErr w:type="gramStart"/>
      <w:r>
        <w:rPr>
          <w:spacing w:val="-4"/>
          <w:sz w:val="24"/>
          <w:szCs w:val="24"/>
        </w:rPr>
        <w:t xml:space="preserve">1.1  </w:t>
      </w:r>
      <w:proofErr w:type="spellStart"/>
      <w:r>
        <w:rPr>
          <w:spacing w:val="-4"/>
          <w:sz w:val="24"/>
          <w:szCs w:val="24"/>
        </w:rPr>
        <w:t>Э</w:t>
      </w:r>
      <w:r>
        <w:rPr>
          <w:sz w:val="24"/>
          <w:szCs w:val="24"/>
        </w:rPr>
        <w:t>нроутеромаст</w:t>
      </w:r>
      <w:proofErr w:type="spellEnd"/>
      <w:proofErr w:type="gramEnd"/>
      <w:r>
        <w:rPr>
          <w:sz w:val="24"/>
          <w:szCs w:val="24"/>
        </w:rPr>
        <w:t xml:space="preserve"> ВБФ - </w:t>
      </w:r>
      <w:proofErr w:type="spellStart"/>
      <w:r>
        <w:rPr>
          <w:sz w:val="24"/>
          <w:szCs w:val="24"/>
          <w:lang w:val="en-US"/>
        </w:rPr>
        <w:t>Enrouteromastum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VBF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 </w:t>
      </w:r>
    </w:p>
    <w:p w14:paraId="5E14B347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 </w:t>
      </w:r>
      <w:r>
        <w:rPr>
          <w:spacing w:val="-4"/>
          <w:sz w:val="24"/>
          <w:szCs w:val="24"/>
        </w:rPr>
        <w:t>В 100 см</w:t>
      </w:r>
      <w:proofErr w:type="gramStart"/>
      <w:r>
        <w:rPr>
          <w:spacing w:val="-4"/>
          <w:sz w:val="24"/>
          <w:szCs w:val="24"/>
          <w:vertAlign w:val="superscript"/>
        </w:rPr>
        <w:t>3</w:t>
      </w:r>
      <w:r>
        <w:rPr>
          <w:spacing w:val="-4"/>
          <w:sz w:val="24"/>
          <w:szCs w:val="24"/>
        </w:rPr>
        <w:t xml:space="preserve">  п</w:t>
      </w:r>
      <w:r>
        <w:rPr>
          <w:sz w:val="24"/>
          <w:szCs w:val="24"/>
        </w:rPr>
        <w:t>репарата</w:t>
      </w:r>
      <w:proofErr w:type="gramEnd"/>
      <w:r>
        <w:rPr>
          <w:sz w:val="24"/>
          <w:szCs w:val="24"/>
        </w:rPr>
        <w:t xml:space="preserve">  содержится 2 г </w:t>
      </w:r>
      <w:proofErr w:type="spellStart"/>
      <w:r>
        <w:rPr>
          <w:spacing w:val="-4"/>
          <w:sz w:val="24"/>
          <w:szCs w:val="24"/>
        </w:rPr>
        <w:t>энрофлоксацина</w:t>
      </w:r>
      <w:proofErr w:type="spellEnd"/>
      <w:r>
        <w:rPr>
          <w:spacing w:val="-4"/>
          <w:sz w:val="24"/>
          <w:szCs w:val="24"/>
        </w:rPr>
        <w:t xml:space="preserve"> основания</w:t>
      </w:r>
      <w:r>
        <w:rPr>
          <w:sz w:val="24"/>
          <w:szCs w:val="24"/>
        </w:rPr>
        <w:t xml:space="preserve">. </w:t>
      </w:r>
    </w:p>
    <w:p w14:paraId="5B2EA29A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1.3 Препарат по внешнему виду представляет собой эмульси</w:t>
      </w:r>
      <w:r>
        <w:rPr>
          <w:sz w:val="24"/>
          <w:szCs w:val="24"/>
        </w:rPr>
        <w:t xml:space="preserve">ю белого или белого с кремовым оттенком цвета. В процессе хранения допускается расслаивание эмульсии, которое легко восстанавливается при встряхивании. </w:t>
      </w:r>
    </w:p>
    <w:p w14:paraId="2720D8CB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1.4 Препарат   </w:t>
      </w:r>
      <w:proofErr w:type="gramStart"/>
      <w:r>
        <w:rPr>
          <w:sz w:val="24"/>
          <w:szCs w:val="24"/>
        </w:rPr>
        <w:t>упаковывают  в</w:t>
      </w:r>
      <w:proofErr w:type="gramEnd"/>
      <w:r>
        <w:rPr>
          <w:sz w:val="24"/>
          <w:szCs w:val="24"/>
        </w:rPr>
        <w:t xml:space="preserve">  полимерные  шприцы - </w:t>
      </w:r>
      <w:proofErr w:type="spellStart"/>
      <w:r>
        <w:rPr>
          <w:sz w:val="24"/>
          <w:szCs w:val="24"/>
        </w:rPr>
        <w:t>инъекторы</w:t>
      </w:r>
      <w:proofErr w:type="spellEnd"/>
      <w:r>
        <w:rPr>
          <w:sz w:val="24"/>
          <w:szCs w:val="24"/>
        </w:rPr>
        <w:t xml:space="preserve">  по 10 и 50 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или стеклянные или пол</w:t>
      </w:r>
      <w:r>
        <w:rPr>
          <w:sz w:val="24"/>
          <w:szCs w:val="24"/>
        </w:rPr>
        <w:t>имерные флаконы по 100 и 200 см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. </w:t>
      </w:r>
    </w:p>
    <w:p w14:paraId="3229BE56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1.5 Хранят препарат в упаковке изготовителя в защищенном от света месте при температуре от 0 до плюс 25 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С. </w:t>
      </w:r>
    </w:p>
    <w:p w14:paraId="0677B3E0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1.6 Срок годности препарата 2 года с даты изготовления при соблюдении условий хранения и транспортирования</w:t>
      </w:r>
      <w:r>
        <w:rPr>
          <w:sz w:val="24"/>
          <w:szCs w:val="24"/>
        </w:rPr>
        <w:t>.</w:t>
      </w:r>
    </w:p>
    <w:p w14:paraId="393C488E" w14:textId="77777777" w:rsidR="0017753B" w:rsidRDefault="0017753B">
      <w:pPr>
        <w:ind w:firstLine="720"/>
        <w:jc w:val="both"/>
        <w:rPr>
          <w:sz w:val="24"/>
          <w:szCs w:val="24"/>
        </w:rPr>
      </w:pPr>
    </w:p>
    <w:p w14:paraId="58B8418E" w14:textId="77777777" w:rsidR="0017753B" w:rsidRDefault="00967D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ФАРМАКОЛОГИЧЕСКИЕ СВОЙСТВА</w:t>
      </w:r>
    </w:p>
    <w:p w14:paraId="2FB7D9DA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 </w:t>
      </w:r>
      <w:proofErr w:type="spellStart"/>
      <w:r>
        <w:rPr>
          <w:sz w:val="24"/>
          <w:szCs w:val="24"/>
        </w:rPr>
        <w:t>Энрофлоксацин</w:t>
      </w:r>
      <w:proofErr w:type="spellEnd"/>
      <w:r>
        <w:rPr>
          <w:sz w:val="24"/>
          <w:szCs w:val="24"/>
        </w:rPr>
        <w:t xml:space="preserve">, входящий в состав препарата, относится к группе </w:t>
      </w:r>
      <w:proofErr w:type="spellStart"/>
      <w:r>
        <w:rPr>
          <w:sz w:val="24"/>
          <w:szCs w:val="24"/>
        </w:rPr>
        <w:t>фторхинолонов</w:t>
      </w:r>
      <w:proofErr w:type="spellEnd"/>
      <w:r>
        <w:rPr>
          <w:sz w:val="24"/>
          <w:szCs w:val="24"/>
        </w:rPr>
        <w:t xml:space="preserve"> и обладает широким спектром антибактериального </w:t>
      </w:r>
      <w:proofErr w:type="gramStart"/>
      <w:r>
        <w:rPr>
          <w:sz w:val="24"/>
          <w:szCs w:val="24"/>
        </w:rPr>
        <w:t>действия,  активен</w:t>
      </w:r>
      <w:proofErr w:type="gramEnd"/>
      <w:r>
        <w:rPr>
          <w:sz w:val="24"/>
          <w:szCs w:val="24"/>
        </w:rPr>
        <w:t xml:space="preserve"> в отношении грамположительных и грамотрицательных бактерий, в том числе </w:t>
      </w:r>
      <w:proofErr w:type="spellStart"/>
      <w:r>
        <w:rPr>
          <w:sz w:val="24"/>
          <w:szCs w:val="24"/>
        </w:rPr>
        <w:t>E.</w:t>
      </w:r>
      <w:r>
        <w:rPr>
          <w:sz w:val="24"/>
          <w:szCs w:val="24"/>
        </w:rPr>
        <w:t>coli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H</w:t>
      </w:r>
      <w:proofErr w:type="spellStart"/>
      <w:r>
        <w:rPr>
          <w:sz w:val="24"/>
          <w:szCs w:val="24"/>
        </w:rPr>
        <w:t>aemophilus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K</w:t>
      </w:r>
      <w:proofErr w:type="spellStart"/>
      <w:r>
        <w:rPr>
          <w:sz w:val="24"/>
          <w:szCs w:val="24"/>
        </w:rPr>
        <w:t>lebsiella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</w:t>
      </w:r>
      <w:proofErr w:type="spellStart"/>
      <w:r>
        <w:rPr>
          <w:sz w:val="24"/>
          <w:szCs w:val="24"/>
        </w:rPr>
        <w:t>asteurella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</w:t>
      </w:r>
      <w:proofErr w:type="spellStart"/>
      <w:r>
        <w:rPr>
          <w:sz w:val="24"/>
          <w:szCs w:val="24"/>
        </w:rPr>
        <w:t>seudomonas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B</w:t>
      </w:r>
      <w:proofErr w:type="spellStart"/>
      <w:r>
        <w:rPr>
          <w:sz w:val="24"/>
          <w:szCs w:val="24"/>
        </w:rPr>
        <w:t>ordetella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</w:t>
      </w:r>
      <w:proofErr w:type="spellStart"/>
      <w:r>
        <w:rPr>
          <w:sz w:val="24"/>
          <w:szCs w:val="24"/>
        </w:rPr>
        <w:t>ampylobacter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proofErr w:type="spellStart"/>
      <w:r>
        <w:rPr>
          <w:sz w:val="24"/>
          <w:szCs w:val="24"/>
        </w:rPr>
        <w:t>rysipelothriх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</w:t>
      </w:r>
      <w:proofErr w:type="spellStart"/>
      <w:r>
        <w:rPr>
          <w:sz w:val="24"/>
          <w:szCs w:val="24"/>
        </w:rPr>
        <w:t>orynebacterium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</w:t>
      </w:r>
      <w:proofErr w:type="spellStart"/>
      <w:r>
        <w:rPr>
          <w:sz w:val="24"/>
          <w:szCs w:val="24"/>
        </w:rPr>
        <w:t>ta</w:t>
      </w:r>
      <w:r>
        <w:rPr>
          <w:sz w:val="24"/>
          <w:szCs w:val="24"/>
          <w:lang w:val="en-US"/>
        </w:rPr>
        <w:t>phy</w:t>
      </w:r>
      <w:r>
        <w:rPr>
          <w:sz w:val="24"/>
          <w:szCs w:val="24"/>
        </w:rPr>
        <w:t>lococcus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</w:t>
      </w:r>
      <w:proofErr w:type="spellStart"/>
      <w:r>
        <w:rPr>
          <w:sz w:val="24"/>
          <w:szCs w:val="24"/>
        </w:rPr>
        <w:t>treptococcus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</w:t>
      </w:r>
      <w:proofErr w:type="spellStart"/>
      <w:r>
        <w:rPr>
          <w:sz w:val="24"/>
          <w:szCs w:val="24"/>
        </w:rPr>
        <w:t>ctinobacillus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</w:t>
      </w:r>
      <w:proofErr w:type="spellStart"/>
      <w:r>
        <w:rPr>
          <w:sz w:val="24"/>
          <w:szCs w:val="24"/>
        </w:rPr>
        <w:t>lostridium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B</w:t>
      </w:r>
      <w:proofErr w:type="spellStart"/>
      <w:r>
        <w:rPr>
          <w:sz w:val="24"/>
          <w:szCs w:val="24"/>
        </w:rPr>
        <w:t>acteroides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</w:t>
      </w:r>
      <w:proofErr w:type="spellStart"/>
      <w:r>
        <w:rPr>
          <w:sz w:val="24"/>
          <w:szCs w:val="24"/>
        </w:rPr>
        <w:t>usobacterium</w:t>
      </w:r>
      <w:proofErr w:type="spellEnd"/>
      <w:r>
        <w:rPr>
          <w:sz w:val="24"/>
          <w:szCs w:val="24"/>
        </w:rPr>
        <w:t xml:space="preserve">, а также микоплазм. Резистентность бактерий к </w:t>
      </w:r>
      <w:r>
        <w:rPr>
          <w:sz w:val="24"/>
          <w:szCs w:val="24"/>
        </w:rPr>
        <w:t xml:space="preserve">препарату развивается относительно медленно, т.к. механизм противомикробного действия </w:t>
      </w:r>
      <w:proofErr w:type="spellStart"/>
      <w:r>
        <w:rPr>
          <w:sz w:val="24"/>
          <w:szCs w:val="24"/>
        </w:rPr>
        <w:t>энрофлоксацина</w:t>
      </w:r>
      <w:proofErr w:type="spellEnd"/>
      <w:r>
        <w:rPr>
          <w:sz w:val="24"/>
          <w:szCs w:val="24"/>
        </w:rPr>
        <w:t xml:space="preserve"> связан с ингибированием активности фермента </w:t>
      </w:r>
      <w:proofErr w:type="spellStart"/>
      <w:r>
        <w:rPr>
          <w:sz w:val="24"/>
          <w:szCs w:val="24"/>
        </w:rPr>
        <w:t>гиразы</w:t>
      </w:r>
      <w:proofErr w:type="spellEnd"/>
      <w:r>
        <w:rPr>
          <w:sz w:val="24"/>
          <w:szCs w:val="24"/>
        </w:rPr>
        <w:t>, влияющего на репликацию спирали ДНК в ядре бактериальной клетки.</w:t>
      </w:r>
    </w:p>
    <w:p w14:paraId="3B2D3DF0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 </w:t>
      </w:r>
      <w:proofErr w:type="spellStart"/>
      <w:r>
        <w:rPr>
          <w:sz w:val="24"/>
          <w:szCs w:val="24"/>
        </w:rPr>
        <w:t>Энрофлоксацин</w:t>
      </w:r>
      <w:proofErr w:type="spellEnd"/>
      <w:r>
        <w:rPr>
          <w:sz w:val="24"/>
          <w:szCs w:val="24"/>
        </w:rPr>
        <w:t xml:space="preserve"> хорошо и быстро п</w:t>
      </w:r>
      <w:r>
        <w:rPr>
          <w:sz w:val="24"/>
          <w:szCs w:val="24"/>
        </w:rPr>
        <w:t>роникает в ткани молочной железы и эндометрий. Физическая форма эмульсии обеспечивает длительное (24 часа) действие препарата, равномерно отдавая его окружающим тканям.</w:t>
      </w:r>
    </w:p>
    <w:p w14:paraId="51ADED70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2.3 </w:t>
      </w:r>
      <w:proofErr w:type="spellStart"/>
      <w:r>
        <w:rPr>
          <w:sz w:val="24"/>
          <w:szCs w:val="24"/>
        </w:rPr>
        <w:t>Энрофлоксацин</w:t>
      </w:r>
      <w:proofErr w:type="spellEnd"/>
      <w:r>
        <w:rPr>
          <w:sz w:val="24"/>
          <w:szCs w:val="24"/>
        </w:rPr>
        <w:t xml:space="preserve"> практически не подвергается </w:t>
      </w:r>
      <w:proofErr w:type="spellStart"/>
      <w:r>
        <w:rPr>
          <w:sz w:val="24"/>
          <w:szCs w:val="24"/>
        </w:rPr>
        <w:t>биотрансформации</w:t>
      </w:r>
      <w:proofErr w:type="spellEnd"/>
      <w:r>
        <w:rPr>
          <w:sz w:val="24"/>
          <w:szCs w:val="24"/>
        </w:rPr>
        <w:t xml:space="preserve"> в организме и выделяе</w:t>
      </w:r>
      <w:r>
        <w:rPr>
          <w:sz w:val="24"/>
          <w:szCs w:val="24"/>
        </w:rPr>
        <w:t xml:space="preserve">тся преимущественно в неизменном виде с молоком, мочой и желчью. </w:t>
      </w:r>
    </w:p>
    <w:p w14:paraId="187AC5F2" w14:textId="77777777" w:rsidR="0017753B" w:rsidRDefault="0017753B">
      <w:pPr>
        <w:ind w:firstLine="720"/>
        <w:jc w:val="both"/>
        <w:rPr>
          <w:sz w:val="24"/>
          <w:szCs w:val="24"/>
        </w:rPr>
      </w:pPr>
    </w:p>
    <w:p w14:paraId="390889BD" w14:textId="77777777" w:rsidR="0017753B" w:rsidRDefault="00967D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 ПОРЯДОК ПРИМЕНЕНИЯ ПРЕПАРАТА</w:t>
      </w:r>
    </w:p>
    <w:p w14:paraId="1798F3AD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 </w:t>
      </w:r>
      <w:proofErr w:type="spellStart"/>
      <w:r>
        <w:rPr>
          <w:sz w:val="24"/>
          <w:szCs w:val="24"/>
        </w:rPr>
        <w:t>Энроутеромаст</w:t>
      </w:r>
      <w:proofErr w:type="spellEnd"/>
      <w:r>
        <w:rPr>
          <w:sz w:val="24"/>
          <w:szCs w:val="24"/>
        </w:rPr>
        <w:t xml:space="preserve"> ВБФ применяют для лечения маститов, эндометритов, вагинитов и цервицитов бактериальной этиологии у самок животных.</w:t>
      </w:r>
    </w:p>
    <w:p w14:paraId="61C8E96B" w14:textId="77777777" w:rsidR="0017753B" w:rsidRDefault="00967DB4">
      <w:pPr>
        <w:pStyle w:val="a5"/>
        <w:ind w:firstLine="0"/>
      </w:pPr>
      <w:r>
        <w:t xml:space="preserve">   3.2 Для лечения мас</w:t>
      </w:r>
      <w:r>
        <w:t>титов препарат вводят в пораженную долю вымени используя шприц и молочный катетер. Препарат следует вводить после тщательного сдаивания пораженной доли вымени, после очистки и дезинфекции сосков. Препарат осторожно вводят в пораженную долю вымени в дозе 10</w:t>
      </w:r>
      <w:r>
        <w:t xml:space="preserve"> см</w:t>
      </w:r>
      <w:r>
        <w:rPr>
          <w:vertAlign w:val="superscript"/>
        </w:rPr>
        <w:t>3</w:t>
      </w:r>
      <w:r>
        <w:t>. После введения препарата для лучшего распределения его проводят массаж вымени по направлению снизу вверх. Препарат применяют один раз в сутки в течение 2-3 суток.</w:t>
      </w:r>
    </w:p>
    <w:p w14:paraId="73AFA933" w14:textId="77777777" w:rsidR="0017753B" w:rsidRDefault="00967DB4">
      <w:pPr>
        <w:pStyle w:val="a5"/>
        <w:ind w:firstLine="0"/>
      </w:pPr>
      <w:r>
        <w:t xml:space="preserve">   3.3 Для лечения эндометритов препарат вводят в полость матки в дозе 50,0 см</w:t>
      </w:r>
      <w:r>
        <w:rPr>
          <w:vertAlign w:val="superscript"/>
        </w:rPr>
        <w:t>3</w:t>
      </w:r>
      <w:r>
        <w:t xml:space="preserve"> подогретым до температуры тела животного, используя шприц и катетер либо гинекологическую пипетку.  Перед применением препарата проводят массаж матки, максимально освобождая ее</w:t>
      </w:r>
      <w:r>
        <w:t xml:space="preserve"> от содержимого, очищают и дезинфицируют наружные половые органы. Применяют препарат 1 раз в сутки до полного выздоровления животного.</w:t>
      </w:r>
    </w:p>
    <w:p w14:paraId="34FB08FB" w14:textId="77777777" w:rsidR="0017753B" w:rsidRDefault="00967DB4">
      <w:pPr>
        <w:pStyle w:val="a5"/>
        <w:ind w:firstLine="0"/>
      </w:pPr>
      <w:r>
        <w:t xml:space="preserve">   3.4 Не рекомендуется одновременное применение препарата с бактериостатическими антибиотиками (тетрациклинами, </w:t>
      </w:r>
      <w:proofErr w:type="spellStart"/>
      <w:r>
        <w:t>макролид</w:t>
      </w:r>
      <w:r>
        <w:t>ами</w:t>
      </w:r>
      <w:proofErr w:type="spellEnd"/>
      <w:r>
        <w:t xml:space="preserve"> и левомицетином), </w:t>
      </w:r>
      <w:proofErr w:type="spellStart"/>
      <w:r>
        <w:t>теофилином</w:t>
      </w:r>
      <w:proofErr w:type="spellEnd"/>
      <w:r>
        <w:t xml:space="preserve"> и стероидами.</w:t>
      </w:r>
    </w:p>
    <w:p w14:paraId="1D945DFA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3.5 В рекомендуемых дозах препарат не токсичен.</w:t>
      </w:r>
    </w:p>
    <w:p w14:paraId="5FE5FCA9" w14:textId="77777777" w:rsidR="0017753B" w:rsidRDefault="00967DB4">
      <w:pPr>
        <w:pStyle w:val="a5"/>
        <w:ind w:firstLine="0"/>
      </w:pPr>
      <w:r>
        <w:t xml:space="preserve">   3.6 Убой на мясо животных, которым применяли препарат, разрешается не ранее, чем через 14 суток после последнего введения. Мясо животных, вынужденно убитых</w:t>
      </w:r>
      <w:r>
        <w:t xml:space="preserve"> до истечения указанного срока, используют для кормления плотоядных животных. Молоко для пищевых целей запрещено использовать в период лечения и в течение 48 часов после последнего введения препарата.</w:t>
      </w:r>
    </w:p>
    <w:p w14:paraId="151ACC1E" w14:textId="77777777" w:rsidR="0017753B" w:rsidRDefault="00967DB4">
      <w:pPr>
        <w:pStyle w:val="a5"/>
        <w:ind w:firstLine="0"/>
      </w:pPr>
      <w:r>
        <w:t xml:space="preserve">   3.7 Перед применением шприцы-</w:t>
      </w:r>
      <w:proofErr w:type="spellStart"/>
      <w:r>
        <w:t>инъекторы</w:t>
      </w:r>
      <w:proofErr w:type="spellEnd"/>
      <w:r>
        <w:t xml:space="preserve"> или флаконы э</w:t>
      </w:r>
      <w:r>
        <w:t>нергично встряхивают для придания эмульсии однородности.</w:t>
      </w:r>
    </w:p>
    <w:p w14:paraId="401563E1" w14:textId="77777777" w:rsidR="0017753B" w:rsidRDefault="0017753B">
      <w:pPr>
        <w:pStyle w:val="a5"/>
      </w:pPr>
    </w:p>
    <w:p w14:paraId="0FA5856F" w14:textId="77777777" w:rsidR="0017753B" w:rsidRDefault="00967D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 МЕРЫ ЛИЧНОЙ ПРОФИЛАКТИКИ</w:t>
      </w:r>
    </w:p>
    <w:p w14:paraId="5BFCACDE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 При работе с препаратом следует соблюдать общепринятые меры личной гигиены и техники безопасности, предусмотренные для работы с ветеринарными препаратами.</w:t>
      </w:r>
    </w:p>
    <w:p w14:paraId="0780ADAC" w14:textId="77777777" w:rsidR="0017753B" w:rsidRDefault="0017753B">
      <w:pPr>
        <w:ind w:firstLine="720"/>
        <w:jc w:val="both"/>
        <w:rPr>
          <w:sz w:val="24"/>
          <w:szCs w:val="24"/>
        </w:rPr>
      </w:pPr>
    </w:p>
    <w:p w14:paraId="6E935DF9" w14:textId="77777777" w:rsidR="0017753B" w:rsidRDefault="00967D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 ПОРЯДО</w:t>
      </w:r>
      <w:r>
        <w:rPr>
          <w:b/>
          <w:bCs/>
          <w:sz w:val="24"/>
          <w:szCs w:val="24"/>
        </w:rPr>
        <w:t>К ПРЕДЪЯВЛЕНИЯ РЕКЛАМАЦИЙ</w:t>
      </w:r>
    </w:p>
    <w:p w14:paraId="26890608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</w:t>
      </w:r>
      <w:r>
        <w:rPr>
          <w:snapToGrid w:val="0"/>
          <w:sz w:val="24"/>
          <w:szCs w:val="24"/>
        </w:rPr>
        <w:t xml:space="preserve">.1 </w:t>
      </w:r>
      <w:r>
        <w:rPr>
          <w:sz w:val="24"/>
          <w:szCs w:val="24"/>
        </w:rPr>
        <w:t>В случае возникновения осложнений после применения препарата, его использование прекращают, и потребитель обращается в Государственное ветеринарное учреждение, на территории которого он находится.</w:t>
      </w:r>
    </w:p>
    <w:p w14:paraId="71B91C06" w14:textId="77777777" w:rsidR="0017753B" w:rsidRDefault="0096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Ветеринарными специа</w:t>
      </w:r>
      <w:r>
        <w:rPr>
          <w:sz w:val="24"/>
          <w:szCs w:val="24"/>
        </w:rPr>
        <w:t>листами этого учреждения производится изучение соблюдения всех правил по применению препарата в соответствии с инструкцией. При подтверждении выявления отрицательного воздействия препарата на организм животного, ветеринарными специалистами отбираются пробы</w:t>
      </w:r>
      <w:r>
        <w:rPr>
          <w:sz w:val="24"/>
          <w:szCs w:val="24"/>
        </w:rPr>
        <w:t xml:space="preserve"> в необходимом количестве для проведения лабораторных испытаний, пишется акт отбора проб и направляется в Государственное учреждение «Белорусский государственный ветеринарный центр» (220005, г. Минск, ул. Красная, 19</w:t>
      </w:r>
      <w:r>
        <w:rPr>
          <w:sz w:val="24"/>
          <w:szCs w:val="24"/>
          <w:vertAlign w:val="superscript"/>
        </w:rPr>
        <w:t>а</w:t>
      </w:r>
      <w:r>
        <w:rPr>
          <w:sz w:val="24"/>
          <w:szCs w:val="24"/>
        </w:rPr>
        <w:t>) для подтверждения на соответствие нор</w:t>
      </w:r>
      <w:r>
        <w:rPr>
          <w:sz w:val="24"/>
          <w:szCs w:val="24"/>
        </w:rPr>
        <w:t>мативных документов.</w:t>
      </w:r>
    </w:p>
    <w:p w14:paraId="6574F815" w14:textId="77777777" w:rsidR="0017753B" w:rsidRDefault="0017753B">
      <w:pPr>
        <w:jc w:val="both"/>
        <w:rPr>
          <w:sz w:val="24"/>
          <w:szCs w:val="24"/>
        </w:rPr>
      </w:pPr>
    </w:p>
    <w:p w14:paraId="535E18AA" w14:textId="77777777" w:rsidR="0017753B" w:rsidRDefault="00967DB4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6  ПОЛНОЕ</w:t>
      </w:r>
      <w:proofErr w:type="gramEnd"/>
      <w:r>
        <w:rPr>
          <w:b/>
          <w:sz w:val="24"/>
          <w:szCs w:val="24"/>
        </w:rPr>
        <w:t xml:space="preserve"> НАИМЕНОВАНИЕ ПРОИЗВОДИТЕЛЯ</w:t>
      </w:r>
    </w:p>
    <w:p w14:paraId="5BE52632" w14:textId="77777777" w:rsidR="0017753B" w:rsidRDefault="00967DB4">
      <w:pPr>
        <w:pStyle w:val="a5"/>
        <w:ind w:firstLine="0"/>
        <w:rPr>
          <w:bCs/>
        </w:rPr>
      </w:pPr>
      <w:r>
        <w:rPr>
          <w:bCs/>
        </w:rPr>
        <w:t xml:space="preserve">   6.1 ОАО «</w:t>
      </w:r>
      <w:proofErr w:type="spellStart"/>
      <w:r>
        <w:rPr>
          <w:bCs/>
        </w:rPr>
        <w:t>БелВитунифарм</w:t>
      </w:r>
      <w:proofErr w:type="spellEnd"/>
      <w:r>
        <w:rPr>
          <w:bCs/>
        </w:rPr>
        <w:t>»</w:t>
      </w:r>
    </w:p>
    <w:p w14:paraId="00F73059" w14:textId="77777777" w:rsidR="0017753B" w:rsidRDefault="00967DB4">
      <w:pPr>
        <w:pStyle w:val="a5"/>
        <w:ind w:firstLine="0"/>
        <w:rPr>
          <w:bCs/>
        </w:rPr>
      </w:pPr>
      <w:r>
        <w:rPr>
          <w:bCs/>
        </w:rPr>
        <w:t>211309, д. Должа, ул. Советская д. 26</w:t>
      </w:r>
      <w:proofErr w:type="gramStart"/>
      <w:r>
        <w:rPr>
          <w:bCs/>
        </w:rPr>
        <w:t>А,  Витебский</w:t>
      </w:r>
      <w:proofErr w:type="gramEnd"/>
      <w:r>
        <w:rPr>
          <w:bCs/>
        </w:rPr>
        <w:t xml:space="preserve"> р-н и обл., Республика Беларусь.</w:t>
      </w:r>
    </w:p>
    <w:p w14:paraId="26067431" w14:textId="77777777" w:rsidR="0017753B" w:rsidRDefault="0017753B">
      <w:pPr>
        <w:pStyle w:val="a3"/>
        <w:spacing w:after="0"/>
        <w:ind w:firstLine="709"/>
        <w:jc w:val="both"/>
        <w:rPr>
          <w:sz w:val="24"/>
          <w:szCs w:val="24"/>
        </w:rPr>
      </w:pPr>
    </w:p>
    <w:p w14:paraId="60A43592" w14:textId="77777777" w:rsidR="0017753B" w:rsidRDefault="00967D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Инструкция разработана специалистами ОАО «</w:t>
      </w:r>
      <w:proofErr w:type="spellStart"/>
      <w:r>
        <w:rPr>
          <w:sz w:val="24"/>
          <w:szCs w:val="24"/>
        </w:rPr>
        <w:t>БелВитунифарм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В.В.Зайцев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Ю.А.Шашкова</w:t>
      </w:r>
      <w:proofErr w:type="spellEnd"/>
      <w:r>
        <w:rPr>
          <w:sz w:val="24"/>
          <w:szCs w:val="24"/>
        </w:rPr>
        <w:t>).</w:t>
      </w:r>
    </w:p>
    <w:p w14:paraId="16A8091B" w14:textId="77777777" w:rsidR="0017753B" w:rsidRDefault="0017753B">
      <w:pPr>
        <w:ind w:firstLine="708"/>
        <w:jc w:val="both"/>
        <w:rPr>
          <w:sz w:val="24"/>
          <w:szCs w:val="24"/>
        </w:rPr>
      </w:pPr>
    </w:p>
    <w:sectPr w:rsidR="001775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D8"/>
    <w:rsid w:val="00001F77"/>
    <w:rsid w:val="00052360"/>
    <w:rsid w:val="00091059"/>
    <w:rsid w:val="000B156C"/>
    <w:rsid w:val="00115933"/>
    <w:rsid w:val="001261D8"/>
    <w:rsid w:val="0012709F"/>
    <w:rsid w:val="0017686C"/>
    <w:rsid w:val="0017753B"/>
    <w:rsid w:val="00180950"/>
    <w:rsid w:val="00252961"/>
    <w:rsid w:val="002664CB"/>
    <w:rsid w:val="0029535E"/>
    <w:rsid w:val="002C1A70"/>
    <w:rsid w:val="002C60F1"/>
    <w:rsid w:val="0030475F"/>
    <w:rsid w:val="00312D01"/>
    <w:rsid w:val="00391B47"/>
    <w:rsid w:val="003A1006"/>
    <w:rsid w:val="003B1C72"/>
    <w:rsid w:val="00426300"/>
    <w:rsid w:val="00426576"/>
    <w:rsid w:val="00445156"/>
    <w:rsid w:val="00445489"/>
    <w:rsid w:val="004A5098"/>
    <w:rsid w:val="0050142C"/>
    <w:rsid w:val="005A244B"/>
    <w:rsid w:val="005E3D7E"/>
    <w:rsid w:val="0061027E"/>
    <w:rsid w:val="006D1767"/>
    <w:rsid w:val="007166DF"/>
    <w:rsid w:val="00772E12"/>
    <w:rsid w:val="007B11DE"/>
    <w:rsid w:val="00817958"/>
    <w:rsid w:val="008251B4"/>
    <w:rsid w:val="008F5352"/>
    <w:rsid w:val="00967DB4"/>
    <w:rsid w:val="00A11D0D"/>
    <w:rsid w:val="00A677A9"/>
    <w:rsid w:val="00A8367B"/>
    <w:rsid w:val="00AA761D"/>
    <w:rsid w:val="00AC1B5F"/>
    <w:rsid w:val="00AD5FEA"/>
    <w:rsid w:val="00B06B02"/>
    <w:rsid w:val="00B85000"/>
    <w:rsid w:val="00BB092A"/>
    <w:rsid w:val="00BB162C"/>
    <w:rsid w:val="00BB4AE4"/>
    <w:rsid w:val="00C240E6"/>
    <w:rsid w:val="00C52C7B"/>
    <w:rsid w:val="00D025AC"/>
    <w:rsid w:val="00D32719"/>
    <w:rsid w:val="00DC4FE6"/>
    <w:rsid w:val="00DD1266"/>
    <w:rsid w:val="00DD381D"/>
    <w:rsid w:val="00E15985"/>
    <w:rsid w:val="00E16121"/>
    <w:rsid w:val="00E50177"/>
    <w:rsid w:val="00FD00C9"/>
    <w:rsid w:val="00FE2E3E"/>
    <w:rsid w:val="00FE344C"/>
    <w:rsid w:val="1A1F2D09"/>
    <w:rsid w:val="6890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7FF4C"/>
  <w15:docId w15:val="{29E74F53-504E-4D4A-99AE-4E799BE7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</w:style>
  <w:style w:type="paragraph" w:styleId="a5">
    <w:name w:val="Body Text Indent"/>
    <w:basedOn w:val="a"/>
    <w:link w:val="a6"/>
    <w:uiPriority w:val="99"/>
    <w:qFormat/>
    <w:pPr>
      <w:ind w:firstLine="720"/>
      <w:jc w:val="both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4357</Characters>
  <Application>Microsoft Office Word</Application>
  <DocSecurity>0</DocSecurity>
  <Lines>36</Lines>
  <Paragraphs>10</Paragraphs>
  <ScaleCrop>false</ScaleCrop>
  <Company>Microsoft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Pavel</cp:lastModifiedBy>
  <cp:revision>2</cp:revision>
  <cp:lastPrinted>2015-11-04T11:29:00Z</cp:lastPrinted>
  <dcterms:created xsi:type="dcterms:W3CDTF">2021-04-15T13:01:00Z</dcterms:created>
  <dcterms:modified xsi:type="dcterms:W3CDTF">2021-04-15T13:01:00Z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